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F812A92" w:rsidR="00CE056E" w:rsidRPr="00510DFA" w:rsidRDefault="00510DFA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205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(JIRA: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421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E37DF97" w:rsidR="00FE4EC9" w:rsidRPr="00A33E6B" w:rsidRDefault="00537340" w:rsidP="00E677C2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</w:pPr>
            <w:r w:rsidRPr="00537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IM517677</w:t>
            </w:r>
            <w:r w:rsidR="00A33E6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 xml:space="preserve"> / KE</w:t>
            </w:r>
            <w:r w:rsidR="00171B4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22933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BD08B42" w:rsidR="00EE7CA2" w:rsidRPr="00537340" w:rsidRDefault="00537340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 w:rsidRPr="0053734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NA-BE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9C255AD" w:rsidR="00CE056E" w:rsidRPr="008009B0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537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64A9FD1D" w:rsidR="00FE4EC9" w:rsidRPr="008009B0" w:rsidRDefault="00510DFA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4501A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3643E4" w:rsidRPr="008009B0" w14:paraId="2873D76C" w14:textId="77777777" w:rsidTr="00510DFA">
        <w:trPr>
          <w:trHeight w:val="1423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E663CBE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510DFA">
              <w:trPr>
                <w:trHeight w:val="387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4E5A9B0F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510D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4FB697E" w:rsidR="002337D9" w:rsidRPr="008009B0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510D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C0AAE7C" w:rsidR="002337D9" w:rsidRPr="008009B0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FC747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510D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4D6213A1" w:rsidR="003643E4" w:rsidRPr="008009B0" w:rsidRDefault="00510DFA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510DFA">
        <w:trPr>
          <w:trHeight w:val="574"/>
        </w:trPr>
        <w:tc>
          <w:tcPr>
            <w:tcW w:w="9747" w:type="dxa"/>
          </w:tcPr>
          <w:p w14:paraId="70DA2C8C" w14:textId="7C222DD6" w:rsidR="00DF2483" w:rsidRPr="00DF2483" w:rsidRDefault="00232868" w:rsidP="00510DFA">
            <w:pPr>
              <w:pStyle w:val="Heading1"/>
              <w:spacing w:before="0" w:after="0"/>
            </w:pPr>
            <w:r w:rsidRPr="0053734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NCTS-P5 (DDNTA-5.15.0</w:t>
            </w:r>
            <w:r w:rsidR="00537340" w:rsidRPr="0053734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-v1.00</w:t>
            </w:r>
            <w:r w:rsidRPr="0053734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- CSE-v51.8.0): </w:t>
            </w:r>
            <w:r w:rsid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fr-BE"/>
              </w:rPr>
              <w:t xml:space="preserve">Correction of Appendix N to </w:t>
            </w:r>
            <w:proofErr w:type="spellStart"/>
            <w:r w:rsid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fr-BE"/>
              </w:rPr>
              <w:t>add</w:t>
            </w:r>
            <w:proofErr w:type="spellEnd"/>
            <w:r w:rsid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fr-BE"/>
              </w:rPr>
              <w:t xml:space="preserve"> the (</w:t>
            </w:r>
            <w:proofErr w:type="spellStart"/>
            <w:r w:rsid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fr-BE"/>
              </w:rPr>
              <w:t>missing</w:t>
            </w:r>
            <w:proofErr w:type="spellEnd"/>
            <w:r w:rsid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fr-BE"/>
              </w:rPr>
              <w:t xml:space="preserve">) </w:t>
            </w:r>
            <w:r w:rsidR="00537340" w:rsidRPr="00537340">
              <w:rPr>
                <w:rFonts w:asciiTheme="minorHAnsi" w:hAnsiTheme="minorHAnsi" w:cstheme="minorHAnsi"/>
                <w:color w:val="0070C0"/>
                <w:kern w:val="0"/>
                <w:sz w:val="22"/>
                <w:szCs w:val="22"/>
                <w:lang w:val="en-GB" w:eastAsia="en-US"/>
              </w:rPr>
              <w:t>IE114/IE115 from status "Under enquiry procedure"</w:t>
            </w:r>
            <w:r w:rsidR="00510DFA">
              <w:rPr>
                <w:rFonts w:asciiTheme="minorHAnsi" w:hAnsiTheme="minorHAnsi" w:cstheme="minorHAnsi"/>
                <w:color w:val="0070C0"/>
                <w:kern w:val="0"/>
                <w:sz w:val="22"/>
                <w:szCs w:val="22"/>
                <w:lang w:val="en-GB" w:eastAsia="en-US"/>
              </w:rPr>
              <w:t>.</w:t>
            </w:r>
          </w:p>
        </w:tc>
      </w:tr>
      <w:tr w:rsidR="0046158E" w:rsidRPr="008009B0" w14:paraId="759A9E8B" w14:textId="77777777" w:rsidTr="00DF2483">
        <w:trPr>
          <w:trHeight w:val="295"/>
        </w:trPr>
        <w:tc>
          <w:tcPr>
            <w:tcW w:w="9747" w:type="dxa"/>
            <w:vAlign w:val="center"/>
          </w:tcPr>
          <w:p w14:paraId="47B493E5" w14:textId="29CD5C28" w:rsidR="00DF2483" w:rsidRPr="00510DFA" w:rsidRDefault="00510DFA" w:rsidP="00510DFA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 w:rsidRP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DDNTA Appendix N shall be updated by adding the IE114, IE115, IE164, IE165, IE002, IE003 messages as self-transitions to the states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“</w:t>
            </w:r>
            <w:r w:rsidRPr="00510DFA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  <w:lang w:val="en-US"/>
              </w:rPr>
              <w:t>Under enquiry procedure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”</w:t>
            </w:r>
            <w:r w:rsidRP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&amp; “</w:t>
            </w:r>
            <w:r w:rsidRPr="00510DFA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  <w:lang w:val="en-US"/>
              </w:rPr>
              <w:t>Enquiry recommended</w:t>
            </w:r>
            <w:r w:rsidRP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” (</w:t>
            </w:r>
            <w:proofErr w:type="gramStart"/>
            <w:r w:rsidRP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i.e.</w:t>
            </w:r>
            <w:proofErr w:type="gramEnd"/>
            <w:r w:rsidRPr="00510DF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from these states to themselves)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 The correction will ensure consistency with the Main Document.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482A54D6" w14:textId="77777777" w:rsidTr="005F073E">
        <w:tc>
          <w:tcPr>
            <w:tcW w:w="9759" w:type="dxa"/>
          </w:tcPr>
          <w:bookmarkEnd w:id="3"/>
          <w:p w14:paraId="10CAFF58" w14:textId="1E6FEDB6" w:rsidR="00152FCB" w:rsidRDefault="00152FCB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DDNTA-5.15.0-v1.00, the Main Document includes (in section </w:t>
            </w:r>
            <w:r w:rsidRPr="00152F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III.V.1.2</w:t>
            </w:r>
            <w:r w:rsidRPr="00152F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ab/>
              <w:t>Office of Departure (after movement release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under the section </w:t>
            </w:r>
            <w:r w:rsidRPr="00152F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III.V State Transition Diagrams</w:t>
            </w:r>
            <w:r w:rsidRPr="00152FC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following explanation:</w:t>
            </w:r>
          </w:p>
          <w:p w14:paraId="4FC6EB88" w14:textId="3A21161D" w:rsidR="00152FCB" w:rsidRDefault="00152FCB" w:rsidP="006C114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52FCB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6B8D1417" wp14:editId="56AE0BEC">
                  <wp:extent cx="5452741" cy="1585127"/>
                  <wp:effectExtent l="152400" t="152400" r="358140" b="3581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9882" cy="1590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CF208DC" w14:textId="393BFF78" w:rsidR="006C1143" w:rsidRDefault="006C1143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Figure 125 of the Main Document also indicates clearly </w:t>
            </w:r>
            <w:r w:rsidR="00DD5F8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that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same </w:t>
            </w:r>
            <w:r w:rsidR="00DD5F8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messages (IE002, IE003, IE114, IE115, IE164, IE165) can be exchanged when the state at Office of Departure is ‘Under Enquiry Procedure’:</w:t>
            </w:r>
          </w:p>
          <w:p w14:paraId="1704FF33" w14:textId="36AC8343" w:rsidR="006C1143" w:rsidRDefault="006C1143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3346FF1" w14:textId="6BD6B6E1" w:rsidR="006C1143" w:rsidRDefault="006C1143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6C1143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lastRenderedPageBreak/>
              <w:drawing>
                <wp:inline distT="0" distB="0" distL="0" distR="0" wp14:anchorId="2732D232" wp14:editId="7A01A708">
                  <wp:extent cx="5819140" cy="1595755"/>
                  <wp:effectExtent l="152400" t="152400" r="353060" b="36639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595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70A97F4" w14:textId="77777777" w:rsidR="00DD5F84" w:rsidRDefault="00152FCB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But i</w:t>
            </w:r>
            <w:r w:rsidR="00786EC1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E43CF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Appendix N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="00E43CF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of </w:t>
            </w:r>
            <w:r w:rsidR="00786EC1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DDNTA-5.15.</w:t>
            </w:r>
            <w:r w:rsidR="005C5C04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0</w:t>
            </w:r>
            <w:r w:rsidR="00A256F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-v1.00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6C114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it is not mentioned that the exchanges of IE002, IE003, </w:t>
            </w:r>
            <w:r w:rsidR="00E43CF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IE114</w:t>
            </w:r>
            <w:r w:rsidR="006C114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E43CF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IE115</w:t>
            </w:r>
            <w:r w:rsidR="006C114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IE164 and IE165</w:t>
            </w:r>
            <w:r w:rsidR="00E43CF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6C114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can be exchanged when the state at Office of Departure is</w:t>
            </w:r>
          </w:p>
          <w:p w14:paraId="7ED0C55C" w14:textId="5AD713CF" w:rsidR="006C1143" w:rsidRDefault="00DD5F84" w:rsidP="00DD5F84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6C1143" w:rsidRPr="00DD5F8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Enquiry recommended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</w:p>
          <w:p w14:paraId="081FE24A" w14:textId="746FC700" w:rsidR="00DD5F84" w:rsidRDefault="00DD5F84" w:rsidP="00DD5F84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‘Under enquiry procedure’.</w:t>
            </w:r>
          </w:p>
          <w:p w14:paraId="7F3235D8" w14:textId="55283834" w:rsidR="00DD5F84" w:rsidRDefault="00DD5F84" w:rsidP="00DD5F8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as illustrated below:</w:t>
            </w:r>
          </w:p>
          <w:p w14:paraId="030106A0" w14:textId="77777777" w:rsidR="00DD5F84" w:rsidRPr="00DD5F84" w:rsidRDefault="00DD5F84" w:rsidP="00DD5F8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0F41C33" w14:textId="6722B614" w:rsidR="007C0B24" w:rsidRDefault="00DD5F84" w:rsidP="00A6766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DD5F84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39AFFF7F" wp14:editId="2FE989FF">
                  <wp:extent cx="5819140" cy="162179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C275EB" w14:textId="2D5FD3D4" w:rsidR="007C0B24" w:rsidRDefault="007C0B2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D99DC1B" w14:textId="77777777" w:rsidR="00DD5F84" w:rsidRDefault="00DD5F8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A65EE16" w14:textId="77777777" w:rsidR="00DD5F84" w:rsidRDefault="00DD5F84" w:rsidP="00A6766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DD5F84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6A6BEB72" wp14:editId="493455AC">
                  <wp:extent cx="5819140" cy="22567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25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57A24D" w14:textId="77777777" w:rsidR="00DD5F84" w:rsidRDefault="00DD5F8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3BC1A52" w14:textId="1A8370FC" w:rsidR="007C0B24" w:rsidRDefault="00DD5F8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the sheet “</w:t>
            </w:r>
            <w:r w:rsidRPr="00DD5F8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TRA-</w:t>
            </w:r>
            <w:proofErr w:type="spellStart"/>
            <w:r w:rsidRPr="00DD5F8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OoDep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”, rows should be inserted for receiving message IE002, IE114,IE164 and for sending IE003, IE115, IE165.</w:t>
            </w:r>
          </w:p>
          <w:p w14:paraId="433C0A48" w14:textId="71634518" w:rsidR="007C0B24" w:rsidRDefault="007C0B2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085E9ADD" w14:textId="77777777" w:rsidR="007C0B24" w:rsidRDefault="007C0B2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9B20A2B" w14:textId="5E3CC080" w:rsidR="007C0B24" w:rsidRDefault="007C0B24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898C77F" w14:textId="3F92272C" w:rsidR="00CE29C5" w:rsidRPr="008009B0" w:rsidRDefault="00CE29C5" w:rsidP="00EE0A2E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lastRenderedPageBreak/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44FBECD5" w14:textId="5A0C69FB" w:rsidR="004D4688" w:rsidRDefault="00B62CAC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DDNTA-5.15.0</w:t>
            </w:r>
            <w:r w:rsidR="00A256FB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E29C5">
              <w:rPr>
                <w:rFonts w:asciiTheme="minorHAnsi" w:hAnsiTheme="minorHAnsi" w:cstheme="minorHAnsi"/>
                <w:sz w:val="22"/>
                <w:szCs w:val="22"/>
              </w:rPr>
              <w:t>Appendix N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shall be </w:t>
            </w:r>
            <w:r w:rsidR="00DD5F84">
              <w:rPr>
                <w:rFonts w:asciiTheme="minorHAnsi" w:hAnsiTheme="minorHAnsi" w:cstheme="minorHAnsi"/>
                <w:sz w:val="22"/>
                <w:szCs w:val="22"/>
              </w:rPr>
              <w:t>corrected as follows:</w:t>
            </w:r>
            <w:r w:rsidR="00DD5F8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937D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A0D0AC7" w14:textId="77777777" w:rsidR="00937D56" w:rsidRDefault="00937D56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bookmarkEnd w:id="5"/>
          <w:bookmarkEnd w:id="6"/>
          <w:p w14:paraId="1D2EB15B" w14:textId="1B7327E1" w:rsidR="000925DA" w:rsidRDefault="00CC392B" w:rsidP="00A676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  <w:r w:rsidRPr="00CC392B">
              <w:rPr>
                <w:b/>
                <w:bCs/>
                <w:noProof/>
              </w:rPr>
              <w:drawing>
                <wp:inline distT="0" distB="0" distL="0" distR="0" wp14:anchorId="74AFC527" wp14:editId="162B6FF8">
                  <wp:extent cx="5819140" cy="207137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07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CDB1B7" w14:textId="0D277E31" w:rsidR="00CC392B" w:rsidRDefault="00CC392B" w:rsidP="00D7652E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3F20E6EE" w14:textId="30FF0233" w:rsidR="00CC392B" w:rsidRDefault="00CC392B" w:rsidP="00A676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  <w:r w:rsidRPr="00CC392B">
              <w:rPr>
                <w:b/>
                <w:bCs/>
                <w:noProof/>
              </w:rPr>
              <w:drawing>
                <wp:inline distT="0" distB="0" distL="0" distR="0" wp14:anchorId="42041A52" wp14:editId="327293AE">
                  <wp:extent cx="5819140" cy="2680970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680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034516" w14:textId="467E0B00" w:rsidR="00DD5F84" w:rsidRDefault="00DD5F84" w:rsidP="00D7652E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015914E6" w14:textId="58AAABCF" w:rsidR="00CE29C5" w:rsidRDefault="00CE29C5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268DF6B2" w14:textId="77777777" w:rsidR="00A33E6B" w:rsidRDefault="00A33E6B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799FFAC" w14:textId="6EBDC5C5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419F2D6" w14:textId="0776F9F6" w:rsidR="00460B08" w:rsidRPr="0038772F" w:rsidRDefault="007007B8" w:rsidP="0038772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This RFC-Proposal </w:t>
            </w:r>
            <w:r w:rsidRPr="008652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concerns</w:t>
            </w:r>
            <w:r w:rsidR="00CE29C5" w:rsidRPr="008652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only documentary</w:t>
            </w:r>
            <w:r w:rsidRPr="008652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changes</w:t>
            </w:r>
            <w:r w:rsidR="00CE29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thus there is no </w:t>
            </w:r>
            <w:r w:rsidR="00B04C9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mpact on business continuity</w:t>
            </w:r>
            <w:r w:rsidR="00DD5F8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5DA89B2" w14:textId="7777777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0078B0FD" w14:textId="77777777" w:rsidR="00CC392B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CC392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Not applicable. </w:t>
            </w:r>
          </w:p>
          <w:p w14:paraId="0325DA0A" w14:textId="4C054018" w:rsidR="00163F32" w:rsidRPr="00CC392B" w:rsidRDefault="00CC392B" w:rsidP="00CC392B">
            <w:pPr>
              <w:pStyle w:val="paragraph"/>
              <w:spacing w:before="0" w:beforeAutospacing="0" w:after="0" w:afterAutospacing="0"/>
              <w:ind w:left="484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NTA must be aligned to Main Document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that is correct.</w:t>
            </w:r>
          </w:p>
          <w:p w14:paraId="5E2A6422" w14:textId="1269EDB3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applicable.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B505688" w14:textId="03F1F16B" w:rsidR="00163F32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1</w:t>
            </w:r>
            <w:r w:rsidR="002A73C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3</w:t>
            </w:r>
            <w:r w:rsid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.01.2023.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E794FF4" w14:textId="77777777" w:rsidR="00052CFE" w:rsidRPr="008009B0" w:rsidRDefault="00541EC9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 </w:t>
            </w:r>
          </w:p>
          <w:p w14:paraId="78875058" w14:textId="77777777" w:rsidR="000B04F2" w:rsidRPr="008009B0" w:rsidRDefault="000B04F2" w:rsidP="000B04F2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F0C46B" w14:textId="4C586192" w:rsidR="00CC392B" w:rsidRDefault="00CC392B" w:rsidP="00CC392B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       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applicable.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AF58368" w14:textId="77777777" w:rsidR="00DF2483" w:rsidRDefault="00DF2483" w:rsidP="000B04F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CC46AD4" w14:textId="745528E7" w:rsidR="00541EC9" w:rsidRPr="000B04F2" w:rsidRDefault="00541EC9" w:rsidP="000B04F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A75AA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07F88AE9" w14:textId="2C97995D" w:rsidR="00541EC9" w:rsidRDefault="00541EC9" w:rsidP="00DF248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DDNTA-5.1</w:t>
            </w:r>
            <w:r w:rsidR="002023A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2023A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-v1.00 (Appendix </w:t>
            </w:r>
            <w:r w:rsidR="00B04C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):</w:t>
            </w:r>
            <w:r w:rsidRPr="00CC39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="00CC39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  </w:t>
            </w:r>
          </w:p>
          <w:p w14:paraId="1BBE2947" w14:textId="47DBA149" w:rsidR="00B04C91" w:rsidRDefault="00B04C91" w:rsidP="00B04C91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8CA7FF6" w14:textId="77777777" w:rsidR="00CC392B" w:rsidRPr="0036377B" w:rsidRDefault="00CC392B" w:rsidP="00CC392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6377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CSE-v51.8.0: No.</w:t>
            </w:r>
          </w:p>
          <w:p w14:paraId="7B9BC5F9" w14:textId="27352906" w:rsidR="00CC392B" w:rsidRPr="00194961" w:rsidRDefault="00CC392B" w:rsidP="00CC392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19496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DDNTA-5.15.0-v1.00: 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CC392B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206D7D9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</w:p>
          <w:p w14:paraId="7B935301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5DE44FE3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</w:p>
          <w:p w14:paraId="1AD9A17E" w14:textId="7A0F8B1C" w:rsidR="00CC392B" w:rsidRPr="00CC392B" w:rsidRDefault="00CC392B" w:rsidP="00CC392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DMP Package-v5.7.0-v1.00: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A151313" w14:textId="77777777" w:rsidR="00CC392B" w:rsidRPr="00CC392B" w:rsidRDefault="00CC392B" w:rsidP="00CC392B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05899181" w14:textId="38CC8585" w:rsidR="00CC392B" w:rsidRPr="00CC392B" w:rsidRDefault="00CC392B" w:rsidP="00CC392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CTS-5.7.1-v1.00: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99FADED" w14:textId="77777777" w:rsidR="00CC392B" w:rsidRPr="00CC392B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4DE00914" w14:textId="77777777" w:rsidR="00CC392B" w:rsidRPr="00CC392B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26C93602" w14:textId="0A681A80" w:rsidR="00CC392B" w:rsidRPr="00CC392B" w:rsidRDefault="00CC392B" w:rsidP="00CC392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TRP-5.11.1: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029BA3B" w14:textId="219D1082" w:rsidR="00CC392B" w:rsidRPr="00CC392B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CRP-5.7.4-v1.00: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BDA1232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7F8DACF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0EF1E73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00700729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4CF5A27" w14:textId="77777777" w:rsidR="00CC392B" w:rsidRPr="00B210DE" w:rsidRDefault="00CC392B" w:rsidP="00CC392B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01C27519" w14:textId="77777777" w:rsidR="00CC392B" w:rsidRDefault="00CC392B" w:rsidP="00CC392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22D89574" w14:textId="77777777" w:rsidR="00A33E6B" w:rsidRDefault="00A33E6B" w:rsidP="00A33E6B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D5E4F00" w14:textId="39B6549B" w:rsidR="00A67C60" w:rsidRPr="00A33E6B" w:rsidRDefault="00CC392B" w:rsidP="00A33E6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3E6B">
              <w:rPr>
                <w:rFonts w:asciiTheme="minorHAnsi" w:hAnsiTheme="minorHAnsi" w:cstheme="minorHAnsi"/>
                <w:b/>
                <w:bCs/>
              </w:rPr>
              <w:t>NCTS-P6:</w:t>
            </w:r>
            <w:r w:rsidRPr="00A33E6B">
              <w:rPr>
                <w:rStyle w:val="normaltextrun"/>
                <w:b/>
                <w:bCs/>
                <w:sz w:val="22"/>
                <w:szCs w:val="22"/>
              </w:rPr>
              <w:t xml:space="preserve"> </w:t>
            </w:r>
            <w:r w:rsidRPr="00A33E6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 impact </w:t>
            </w:r>
            <w:r w:rsidRPr="00A33E6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[The </w:t>
            </w:r>
            <w:r w:rsidR="00A33E6B" w:rsidRPr="00A33E6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Appendix N is already correct</w:t>
            </w:r>
            <w:r w:rsidRPr="00A33E6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 DDNTA-6.2.0</w:t>
            </w:r>
            <w:r w:rsidR="00A33E6B" w:rsidRPr="00A33E6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Pr="00A33E6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]</w:t>
            </w:r>
            <w:r w:rsidRPr="00A33E6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</w:tc>
      </w:tr>
    </w:tbl>
    <w:p w14:paraId="2A3EDEB5" w14:textId="77777777" w:rsidR="00483E6C" w:rsidRPr="008009B0" w:rsidRDefault="00483E6C" w:rsidP="008E5D8A">
      <w:pPr>
        <w:rPr>
          <w:rFonts w:asciiTheme="minorHAnsi" w:hAnsiTheme="minorHAnsi" w:cstheme="minorHAnsi"/>
        </w:rPr>
      </w:pPr>
    </w:p>
    <w:p w14:paraId="0AE6AC61" w14:textId="035B3E5A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  <w:r w:rsidR="00A33E6B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 w:rsidTr="00CF4930">
        <w:trPr>
          <w:trHeight w:val="403"/>
        </w:trPr>
        <w:tc>
          <w:tcPr>
            <w:tcW w:w="2802" w:type="dxa"/>
          </w:tcPr>
          <w:p w14:paraId="4E6FB784" w14:textId="74D2F31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DDNTA-v5.15.0 (Appendices)</w:t>
            </w:r>
          </w:p>
        </w:tc>
        <w:tc>
          <w:tcPr>
            <w:tcW w:w="6804" w:type="dxa"/>
          </w:tcPr>
          <w:p w14:paraId="2EE01839" w14:textId="5E73B62B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A33E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 w:rsidTr="00CF4930">
              <w:tc>
                <w:tcPr>
                  <w:tcW w:w="6573" w:type="dxa"/>
                </w:tcPr>
                <w:p w14:paraId="44BACBEE" w14:textId="74E8002A" w:rsidR="00A02B05" w:rsidRPr="008009B0" w:rsidRDefault="00985A4B" w:rsidP="00A33E6B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Appendix N shall be updated </w:t>
                  </w:r>
                  <w:r w:rsidR="00A33E6B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as per section 3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36E2BEC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2569B22" w14:textId="7777777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3961190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65287"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>Estimated</w:t>
      </w: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A33E6B" w:rsidRPr="008009B0" w14:paraId="0D949212" w14:textId="77777777" w:rsidTr="00A33E6B">
        <w:trPr>
          <w:trHeight w:val="1658"/>
        </w:trPr>
        <w:tc>
          <w:tcPr>
            <w:tcW w:w="9634" w:type="dxa"/>
          </w:tcPr>
          <w:p w14:paraId="679DA1F1" w14:textId="22493306" w:rsidR="00A33E6B" w:rsidRPr="008009B0" w:rsidRDefault="00A33E6B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M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8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FC747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A33E6B" w:rsidRPr="008009B0" w:rsidRDefault="00A33E6B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ook w:val="04A0" w:firstRow="1" w:lastRow="0" w:firstColumn="1" w:lastColumn="0" w:noHBand="0" w:noVBand="1"/>
            </w:tblPr>
            <w:tblGrid>
              <w:gridCol w:w="9378"/>
            </w:tblGrid>
            <w:tr w:rsidR="00A33E6B" w:rsidRPr="008009B0" w14:paraId="33B02D2C" w14:textId="77777777" w:rsidTr="00A33E6B">
              <w:trPr>
                <w:trHeight w:val="734"/>
              </w:trPr>
              <w:tc>
                <w:tcPr>
                  <w:tcW w:w="9378" w:type="dxa"/>
                </w:tcPr>
                <w:p w14:paraId="7E846CFC" w14:textId="77777777" w:rsidR="00A33E6B" w:rsidRDefault="00A33E6B" w:rsidP="00CF493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No impact.</w:t>
                  </w:r>
                </w:p>
                <w:p w14:paraId="1F2398F8" w14:textId="2A442A1A" w:rsidR="00A33E6B" w:rsidRPr="008009B0" w:rsidRDefault="00A33E6B" w:rsidP="00CF493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(Only a</w:t>
                  </w:r>
                  <w:r w:rsidR="00865287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correction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of the </w:t>
                  </w:r>
                  <w:r w:rsidR="00865287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ocumentation)</w:t>
                  </w:r>
                </w:p>
              </w:tc>
            </w:tr>
          </w:tbl>
          <w:p w14:paraId="08C1CAFA" w14:textId="77777777" w:rsidR="00A33E6B" w:rsidRPr="008009B0" w:rsidRDefault="00A33E6B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8009B0" w14:paraId="411E99B1" w14:textId="77777777" w:rsidTr="09748007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8009B0" w:rsidRDefault="008E5D8A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8009B0" w:rsidRDefault="008E5D8A" w:rsidP="0008661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5D8A" w:rsidRPr="008009B0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6A2A63C9" w:rsidR="001F32C0" w:rsidRPr="008009B0" w:rsidRDefault="00985A4B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971BF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7644FDE" w14:textId="6144EC67" w:rsidR="001F32C0" w:rsidRPr="008009B0" w:rsidRDefault="000B0F4B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SOFTDEV</w:t>
            </w:r>
          </w:p>
        </w:tc>
      </w:tr>
      <w:tr w:rsidR="00DF2483" w:rsidRPr="008009B0" w14:paraId="5A47BF9B" w14:textId="77777777" w:rsidTr="09748007">
        <w:trPr>
          <w:trHeight w:val="284"/>
        </w:trPr>
        <w:tc>
          <w:tcPr>
            <w:tcW w:w="1049" w:type="dxa"/>
          </w:tcPr>
          <w:p w14:paraId="32AB62C5" w14:textId="76D5D3B9" w:rsidR="00DF2483" w:rsidRPr="008009B0" w:rsidRDefault="00DF2483" w:rsidP="00DF248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73F8EF83" w14:textId="14A4D0DE" w:rsidR="00DF2483" w:rsidRPr="008009B0" w:rsidRDefault="00DF2483" w:rsidP="00DF24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Draft by SOFTDEV</w:t>
            </w:r>
          </w:p>
        </w:tc>
        <w:tc>
          <w:tcPr>
            <w:tcW w:w="1678" w:type="dxa"/>
          </w:tcPr>
          <w:p w14:paraId="30096D87" w14:textId="33332F49" w:rsidR="00DF2483" w:rsidRDefault="00DF2483" w:rsidP="00DF24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07/12/2022</w:t>
            </w:r>
          </w:p>
        </w:tc>
        <w:tc>
          <w:tcPr>
            <w:tcW w:w="4756" w:type="dxa"/>
          </w:tcPr>
          <w:p w14:paraId="74BB8E1C" w14:textId="1E2567D7" w:rsidR="00DF2483" w:rsidRPr="008009B0" w:rsidRDefault="00FA4A52" w:rsidP="00DF2483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Implemented format comments by DG TAXUD</w:t>
            </w:r>
          </w:p>
        </w:tc>
      </w:tr>
      <w:tr w:rsidR="002A73CE" w:rsidRPr="008009B0" w14:paraId="3376CE90" w14:textId="77777777" w:rsidTr="09748007">
        <w:trPr>
          <w:trHeight w:val="284"/>
        </w:trPr>
        <w:tc>
          <w:tcPr>
            <w:tcW w:w="1049" w:type="dxa"/>
          </w:tcPr>
          <w:p w14:paraId="718F1A01" w14:textId="7D8AB730" w:rsidR="002A73CE" w:rsidRDefault="002A73CE" w:rsidP="002A73CE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19E580F7" w14:textId="05244308" w:rsidR="002A73CE" w:rsidRPr="008009B0" w:rsidRDefault="002A73CE" w:rsidP="002A73CE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678" w:type="dxa"/>
          </w:tcPr>
          <w:p w14:paraId="14914D17" w14:textId="488F890E" w:rsidR="002A73CE" w:rsidRDefault="002A73CE" w:rsidP="002A73CE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2547182A" w14:textId="256E024D" w:rsidR="00A75AA7" w:rsidRPr="002A73CE" w:rsidRDefault="002A73CE" w:rsidP="002A73CE">
            <w:pPr>
              <w:spacing w:before="6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2A73C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Proposed to be part of the RFC-List.37 - Purely documentary, to avoid any confusion.</w:t>
            </w:r>
          </w:p>
        </w:tc>
      </w:tr>
      <w:tr w:rsidR="00A75AA7" w:rsidRPr="008009B0" w14:paraId="6038ED4A" w14:textId="77777777" w:rsidTr="00FF6F35">
        <w:trPr>
          <w:trHeight w:val="284"/>
        </w:trPr>
        <w:tc>
          <w:tcPr>
            <w:tcW w:w="9605" w:type="dxa"/>
            <w:gridSpan w:val="4"/>
          </w:tcPr>
          <w:p w14:paraId="531ED0B1" w14:textId="0DC88F36" w:rsidR="00A75AA7" w:rsidRPr="002A73CE" w:rsidRDefault="00A75AA7" w:rsidP="002A73CE">
            <w:pPr>
              <w:spacing w:before="6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bookmarkStart w:id="9" w:name="_Hlk125980323"/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absence of comments from NPMs by 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21.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01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.202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3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  <w:bookmarkEnd w:id="9"/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84E4" w14:textId="77777777" w:rsidR="00A67667" w:rsidRDefault="00A676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25786A0F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64048D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RFC_NCTS_0205_</w:t>
          </w:r>
          <w:r w:rsidR="0064048D" w:rsidRPr="0064048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IAR-UCCNCTS2421-v1.00</w:t>
          </w:r>
          <w:r w:rsidR="0064048D">
            <w:rPr>
              <w:rFonts w:ascii="Arial" w:hAnsi="Arial" w:cs="Arial"/>
              <w:noProof/>
              <w:sz w:val="18"/>
              <w:szCs w:val="22"/>
              <w:lang w:eastAsia="en-US"/>
            </w:rPr>
            <w:t>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10" w:name="_Ref175030069"/>
          <w:bookmarkStart w:id="11" w:name="_Toc176256264"/>
          <w:bookmarkStart w:id="12" w:name="_Toc268771938"/>
          <w:bookmarkStart w:id="13" w:name="_Ref175030083"/>
        </w:p>
      </w:tc>
    </w:tr>
  </w:tbl>
  <w:bookmarkEnd w:id="10"/>
  <w:bookmarkEnd w:id="11"/>
  <w:bookmarkEnd w:id="12"/>
  <w:bookmarkEnd w:id="13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9A92" w14:textId="1B8691C9" w:rsidR="00A67667" w:rsidRDefault="00FC747D">
    <w:pPr>
      <w:pStyle w:val="Header"/>
    </w:pPr>
    <w:r>
      <w:rPr>
        <w:noProof/>
      </w:rPr>
      <w:pict w14:anchorId="4913E6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377297" o:spid="_x0000_s279554" type="#_x0000_t136" style="position:absolute;margin-left:0;margin-top:0;width:615.75pt;height:78pt;rotation:315;z-index:-251655168;mso-position-horizontal:center;mso-position-horizontal-relative:margin;mso-position-vertical:center;mso-position-vertical-relative:margin" o:allowincell="f" fillcolor="#9bbb59 [3206]" stroked="f">
          <v:textpath style="font-family:&quot;EC Square Sans Pro&quot;;font-size:66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3D405F86" w:rsidR="00DB637F" w:rsidRDefault="00FC747D" w:rsidP="00C80B22">
    <w:pPr>
      <w:pStyle w:val="Header"/>
      <w:jc w:val="both"/>
    </w:pPr>
    <w:r>
      <w:rPr>
        <w:noProof/>
      </w:rPr>
      <w:pict w14:anchorId="242512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377298" o:spid="_x0000_s279555" type="#_x0000_t136" style="position:absolute;left:0;text-align:left;margin-left:0;margin-top:0;width:615.75pt;height:78pt;rotation:315;z-index:-251653120;mso-position-horizontal:center;mso-position-horizontal-relative:margin;mso-position-vertical:center;mso-position-vertical-relative:margin" o:allowincell="f" fillcolor="#9bbb59 [3206]" stroked="f">
          <v:textpath style="font-family:&quot;EC Square Sans Pro&quot;;font-size:66pt" string="RFC-List.37 (SfA_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5A07026F" w:rsidR="00DB637F" w:rsidRPr="00C80B22" w:rsidRDefault="00FC747D" w:rsidP="00871EB2">
    <w:pPr>
      <w:pStyle w:val="Header"/>
    </w:pPr>
    <w:r>
      <w:rPr>
        <w:noProof/>
      </w:rPr>
      <w:pict w14:anchorId="3971B3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377296" o:spid="_x0000_s279553" type="#_x0000_t136" style="position:absolute;margin-left:0;margin-top:0;width:615.75pt;height:78pt;rotation:315;z-index:-251657216;mso-position-horizontal:center;mso-position-horizontal-relative:margin;mso-position-vertical:center;mso-position-vertical-relative:margin" o:allowincell="f" fillcolor="#9bbb59 [3206]" stroked="f">
          <v:textpath style="font-family:&quot;EC Square Sans Pro&quot;;font-size:66pt" string="RFC-List.37 (SfA_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7117"/>
    <w:multiLevelType w:val="hybridMultilevel"/>
    <w:tmpl w:val="7DD4A3E0"/>
    <w:lvl w:ilvl="0" w:tplc="77568B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D3A0F"/>
    <w:multiLevelType w:val="hybridMultilevel"/>
    <w:tmpl w:val="1D802B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E58BF"/>
    <w:multiLevelType w:val="hybridMultilevel"/>
    <w:tmpl w:val="FA0C6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A36A9"/>
    <w:multiLevelType w:val="multilevel"/>
    <w:tmpl w:val="6DA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035107">
    <w:abstractNumId w:val="8"/>
  </w:num>
  <w:num w:numId="2" w16cid:durableId="815537462">
    <w:abstractNumId w:val="9"/>
  </w:num>
  <w:num w:numId="3" w16cid:durableId="323901747">
    <w:abstractNumId w:val="3"/>
  </w:num>
  <w:num w:numId="4" w16cid:durableId="349726110">
    <w:abstractNumId w:val="5"/>
  </w:num>
  <w:num w:numId="5" w16cid:durableId="91822368">
    <w:abstractNumId w:val="4"/>
  </w:num>
  <w:num w:numId="6" w16cid:durableId="1573197097">
    <w:abstractNumId w:val="2"/>
  </w:num>
  <w:num w:numId="7" w16cid:durableId="1242326988">
    <w:abstractNumId w:val="1"/>
  </w:num>
  <w:num w:numId="8" w16cid:durableId="1395083980">
    <w:abstractNumId w:val="7"/>
  </w:num>
  <w:num w:numId="9" w16cid:durableId="1420524954">
    <w:abstractNumId w:val="9"/>
  </w:num>
  <w:num w:numId="10" w16cid:durableId="217712262">
    <w:abstractNumId w:val="0"/>
  </w:num>
  <w:num w:numId="11" w16cid:durableId="52337175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79556"/>
    <o:shapelayout v:ext="edit">
      <o:idmap v:ext="edit" data="27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5DA"/>
    <w:rsid w:val="0009263C"/>
    <w:rsid w:val="0009271D"/>
    <w:rsid w:val="000946A7"/>
    <w:rsid w:val="0009726D"/>
    <w:rsid w:val="0009779D"/>
    <w:rsid w:val="000A189E"/>
    <w:rsid w:val="000A4BA4"/>
    <w:rsid w:val="000A4F68"/>
    <w:rsid w:val="000A79C2"/>
    <w:rsid w:val="000B04F2"/>
    <w:rsid w:val="000B0F4B"/>
    <w:rsid w:val="000B22A3"/>
    <w:rsid w:val="000B2627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65DF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2FCB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1B41"/>
    <w:rsid w:val="00174E60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6E78"/>
    <w:rsid w:val="001A7DAD"/>
    <w:rsid w:val="001A7E5E"/>
    <w:rsid w:val="001B08C7"/>
    <w:rsid w:val="001B586B"/>
    <w:rsid w:val="001B67B4"/>
    <w:rsid w:val="001B6C1D"/>
    <w:rsid w:val="001C0817"/>
    <w:rsid w:val="001C15FE"/>
    <w:rsid w:val="001C1CDB"/>
    <w:rsid w:val="001C2E11"/>
    <w:rsid w:val="001C3A5E"/>
    <w:rsid w:val="001C4723"/>
    <w:rsid w:val="001D0C88"/>
    <w:rsid w:val="001D2F43"/>
    <w:rsid w:val="001D317F"/>
    <w:rsid w:val="001D74D3"/>
    <w:rsid w:val="001E0497"/>
    <w:rsid w:val="001E1272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50C7"/>
    <w:rsid w:val="00250BF1"/>
    <w:rsid w:val="00252CFF"/>
    <w:rsid w:val="00255E0D"/>
    <w:rsid w:val="0025617A"/>
    <w:rsid w:val="00256A26"/>
    <w:rsid w:val="00260838"/>
    <w:rsid w:val="00261AFC"/>
    <w:rsid w:val="00262FCF"/>
    <w:rsid w:val="002741A5"/>
    <w:rsid w:val="0027425C"/>
    <w:rsid w:val="00275EC1"/>
    <w:rsid w:val="00277636"/>
    <w:rsid w:val="00277E44"/>
    <w:rsid w:val="002817A3"/>
    <w:rsid w:val="002840B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3CE"/>
    <w:rsid w:val="002A7DCC"/>
    <w:rsid w:val="002B0187"/>
    <w:rsid w:val="002B41B5"/>
    <w:rsid w:val="002B702F"/>
    <w:rsid w:val="002C0ABB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43E4"/>
    <w:rsid w:val="003657BB"/>
    <w:rsid w:val="00365DAE"/>
    <w:rsid w:val="00370380"/>
    <w:rsid w:val="00370BCD"/>
    <w:rsid w:val="00372597"/>
    <w:rsid w:val="00375C7E"/>
    <w:rsid w:val="00375DAE"/>
    <w:rsid w:val="00376145"/>
    <w:rsid w:val="00384F97"/>
    <w:rsid w:val="00387082"/>
    <w:rsid w:val="0038755C"/>
    <w:rsid w:val="0038772F"/>
    <w:rsid w:val="00387EE2"/>
    <w:rsid w:val="003929BE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9F9"/>
    <w:rsid w:val="003E0CFB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1A8"/>
    <w:rsid w:val="004508BA"/>
    <w:rsid w:val="0045336F"/>
    <w:rsid w:val="0045468A"/>
    <w:rsid w:val="00454C30"/>
    <w:rsid w:val="00457385"/>
    <w:rsid w:val="00460B08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688"/>
    <w:rsid w:val="004D4726"/>
    <w:rsid w:val="004D4FEF"/>
    <w:rsid w:val="004D5C45"/>
    <w:rsid w:val="004D5D73"/>
    <w:rsid w:val="004D6072"/>
    <w:rsid w:val="004E29AE"/>
    <w:rsid w:val="004E3039"/>
    <w:rsid w:val="004F0391"/>
    <w:rsid w:val="004F04FB"/>
    <w:rsid w:val="0050084B"/>
    <w:rsid w:val="005017F3"/>
    <w:rsid w:val="005024FA"/>
    <w:rsid w:val="00503604"/>
    <w:rsid w:val="00506A32"/>
    <w:rsid w:val="0051071E"/>
    <w:rsid w:val="00510DFA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37340"/>
    <w:rsid w:val="00541EC9"/>
    <w:rsid w:val="00543370"/>
    <w:rsid w:val="00544B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67E1C"/>
    <w:rsid w:val="00571AD5"/>
    <w:rsid w:val="00573B10"/>
    <w:rsid w:val="00574762"/>
    <w:rsid w:val="00575C47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5C04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25D12"/>
    <w:rsid w:val="00630E04"/>
    <w:rsid w:val="006310F8"/>
    <w:rsid w:val="006314C5"/>
    <w:rsid w:val="00631C1E"/>
    <w:rsid w:val="00633B7E"/>
    <w:rsid w:val="00633F9F"/>
    <w:rsid w:val="0064048D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C1143"/>
    <w:rsid w:val="006C3A64"/>
    <w:rsid w:val="006C51F2"/>
    <w:rsid w:val="006C78B1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7B8"/>
    <w:rsid w:val="00700F59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17D73"/>
    <w:rsid w:val="00720F9B"/>
    <w:rsid w:val="00722093"/>
    <w:rsid w:val="007233E5"/>
    <w:rsid w:val="00724A4F"/>
    <w:rsid w:val="007266E6"/>
    <w:rsid w:val="00726E53"/>
    <w:rsid w:val="00733796"/>
    <w:rsid w:val="00734D49"/>
    <w:rsid w:val="007400FC"/>
    <w:rsid w:val="00744EC1"/>
    <w:rsid w:val="007461D3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86EC1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B762B"/>
    <w:rsid w:val="007C0B24"/>
    <w:rsid w:val="007C1293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66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1520"/>
    <w:rsid w:val="00803A90"/>
    <w:rsid w:val="00803B5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4A57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5490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287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FC1"/>
    <w:rsid w:val="00923E7C"/>
    <w:rsid w:val="009261D5"/>
    <w:rsid w:val="00926666"/>
    <w:rsid w:val="00931120"/>
    <w:rsid w:val="00931DD1"/>
    <w:rsid w:val="009331E7"/>
    <w:rsid w:val="009351D4"/>
    <w:rsid w:val="00937D56"/>
    <w:rsid w:val="0094004B"/>
    <w:rsid w:val="009439BD"/>
    <w:rsid w:val="0094487F"/>
    <w:rsid w:val="00944D17"/>
    <w:rsid w:val="00945A0A"/>
    <w:rsid w:val="00946540"/>
    <w:rsid w:val="009500A3"/>
    <w:rsid w:val="00951351"/>
    <w:rsid w:val="00954997"/>
    <w:rsid w:val="0095756E"/>
    <w:rsid w:val="00960DA2"/>
    <w:rsid w:val="00962E9F"/>
    <w:rsid w:val="00962F14"/>
    <w:rsid w:val="00965026"/>
    <w:rsid w:val="0096548E"/>
    <w:rsid w:val="00970FB2"/>
    <w:rsid w:val="00971BF0"/>
    <w:rsid w:val="00972AE5"/>
    <w:rsid w:val="00973C4B"/>
    <w:rsid w:val="00981340"/>
    <w:rsid w:val="00983563"/>
    <w:rsid w:val="009840B2"/>
    <w:rsid w:val="00985A4B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509E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2B05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256FB"/>
    <w:rsid w:val="00A272BD"/>
    <w:rsid w:val="00A32667"/>
    <w:rsid w:val="00A32D3E"/>
    <w:rsid w:val="00A33E6B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667"/>
    <w:rsid w:val="00A67C60"/>
    <w:rsid w:val="00A73D9A"/>
    <w:rsid w:val="00A7459B"/>
    <w:rsid w:val="00A75AA7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C91"/>
    <w:rsid w:val="00B04E76"/>
    <w:rsid w:val="00B06094"/>
    <w:rsid w:val="00B07168"/>
    <w:rsid w:val="00B10E6E"/>
    <w:rsid w:val="00B129E1"/>
    <w:rsid w:val="00B13117"/>
    <w:rsid w:val="00B1754F"/>
    <w:rsid w:val="00B21E1C"/>
    <w:rsid w:val="00B25C97"/>
    <w:rsid w:val="00B320DA"/>
    <w:rsid w:val="00B32845"/>
    <w:rsid w:val="00B364B4"/>
    <w:rsid w:val="00B372C6"/>
    <w:rsid w:val="00B41337"/>
    <w:rsid w:val="00B443CE"/>
    <w:rsid w:val="00B44E73"/>
    <w:rsid w:val="00B47B0E"/>
    <w:rsid w:val="00B50AB0"/>
    <w:rsid w:val="00B524F0"/>
    <w:rsid w:val="00B538D1"/>
    <w:rsid w:val="00B54D7A"/>
    <w:rsid w:val="00B55BE6"/>
    <w:rsid w:val="00B56C71"/>
    <w:rsid w:val="00B57346"/>
    <w:rsid w:val="00B576E6"/>
    <w:rsid w:val="00B618CD"/>
    <w:rsid w:val="00B627DF"/>
    <w:rsid w:val="00B62BD3"/>
    <w:rsid w:val="00B62CAC"/>
    <w:rsid w:val="00B663ED"/>
    <w:rsid w:val="00B818D8"/>
    <w:rsid w:val="00B85B07"/>
    <w:rsid w:val="00B85F83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5F71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77F02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C1851"/>
    <w:rsid w:val="00CC2D41"/>
    <w:rsid w:val="00CC392B"/>
    <w:rsid w:val="00CC490D"/>
    <w:rsid w:val="00CC6326"/>
    <w:rsid w:val="00CC66B2"/>
    <w:rsid w:val="00CD1279"/>
    <w:rsid w:val="00CD16D8"/>
    <w:rsid w:val="00CD39DD"/>
    <w:rsid w:val="00CD71D4"/>
    <w:rsid w:val="00CE056E"/>
    <w:rsid w:val="00CE1678"/>
    <w:rsid w:val="00CE29C5"/>
    <w:rsid w:val="00CE344C"/>
    <w:rsid w:val="00CE41C6"/>
    <w:rsid w:val="00CE4C66"/>
    <w:rsid w:val="00CE5514"/>
    <w:rsid w:val="00CE5E90"/>
    <w:rsid w:val="00CF45AC"/>
    <w:rsid w:val="00CF4AB6"/>
    <w:rsid w:val="00CF5E76"/>
    <w:rsid w:val="00CF5F34"/>
    <w:rsid w:val="00D00374"/>
    <w:rsid w:val="00D00844"/>
    <w:rsid w:val="00D02EBD"/>
    <w:rsid w:val="00D04446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68B8"/>
    <w:rsid w:val="00D31DD1"/>
    <w:rsid w:val="00D32088"/>
    <w:rsid w:val="00D32A8C"/>
    <w:rsid w:val="00D343EA"/>
    <w:rsid w:val="00D351D7"/>
    <w:rsid w:val="00D36E55"/>
    <w:rsid w:val="00D467E6"/>
    <w:rsid w:val="00D51E32"/>
    <w:rsid w:val="00D563AB"/>
    <w:rsid w:val="00D56CA0"/>
    <w:rsid w:val="00D57919"/>
    <w:rsid w:val="00D627DA"/>
    <w:rsid w:val="00D66A7F"/>
    <w:rsid w:val="00D73CC3"/>
    <w:rsid w:val="00D7446E"/>
    <w:rsid w:val="00D7652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97604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29C7"/>
    <w:rsid w:val="00DC5508"/>
    <w:rsid w:val="00DC5EDB"/>
    <w:rsid w:val="00DC6B22"/>
    <w:rsid w:val="00DD07D4"/>
    <w:rsid w:val="00DD381B"/>
    <w:rsid w:val="00DD5F84"/>
    <w:rsid w:val="00DE1561"/>
    <w:rsid w:val="00DE377F"/>
    <w:rsid w:val="00DE67DA"/>
    <w:rsid w:val="00DE6FA9"/>
    <w:rsid w:val="00DE76DB"/>
    <w:rsid w:val="00DE7D58"/>
    <w:rsid w:val="00DF025B"/>
    <w:rsid w:val="00DF2483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3CFE"/>
    <w:rsid w:val="00E440D9"/>
    <w:rsid w:val="00E46281"/>
    <w:rsid w:val="00E47414"/>
    <w:rsid w:val="00E47F9E"/>
    <w:rsid w:val="00E519CD"/>
    <w:rsid w:val="00E51ECA"/>
    <w:rsid w:val="00E53DC3"/>
    <w:rsid w:val="00E54CD6"/>
    <w:rsid w:val="00E55C87"/>
    <w:rsid w:val="00E60540"/>
    <w:rsid w:val="00E6246C"/>
    <w:rsid w:val="00E63F69"/>
    <w:rsid w:val="00E652C0"/>
    <w:rsid w:val="00E6531D"/>
    <w:rsid w:val="00E677C2"/>
    <w:rsid w:val="00E67FE3"/>
    <w:rsid w:val="00E7099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65AD"/>
    <w:rsid w:val="00ED74FF"/>
    <w:rsid w:val="00EE0A2E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7A42"/>
    <w:rsid w:val="00F501B0"/>
    <w:rsid w:val="00F519AE"/>
    <w:rsid w:val="00F53722"/>
    <w:rsid w:val="00F57A13"/>
    <w:rsid w:val="00F620A4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A4A52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47D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955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52F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152FC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26d8be52-d398-4af4-8c88-f8156a92ce2a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5a5aa76-4b22-43c3-9bb9-6f2fb36d90b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22</TotalTime>
  <Pages>4</Pages>
  <Words>542</Words>
  <Characters>3616</Characters>
  <Application>Microsoft Office Word</Application>
  <DocSecurity>0</DocSecurity>
  <Lines>172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9</cp:revision>
  <cp:lastPrinted>2014-03-17T16:31:00Z</cp:lastPrinted>
  <dcterms:created xsi:type="dcterms:W3CDTF">2022-12-26T22:15:00Z</dcterms:created>
  <dcterms:modified xsi:type="dcterms:W3CDTF">2023-01-31T07:53:00Z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2022-12-26T20:50:59Z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3a6ea90b-dbed-4202-b9b2-df113164a52d</vt:lpwstr>
  </property>
  <property fmtid="{D5CDD505-2E9C-101B-9397-08002B2CF9AE}" pid="14" name="MSIP_Label_6bd9ddd1-4d20-43f6-abfa-fc3c07406f94_ContentBits">
    <vt:lpwstr>0</vt:lpwstr>
  </property>
</Properties>
</file>